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D3E6" w14:textId="5C7194BA" w:rsidR="000F15B9" w:rsidRPr="00764A3F" w:rsidRDefault="008C77B6" w:rsidP="005C50DF">
      <w:pPr>
        <w:ind w:firstLineChars="0" w:firstLine="0"/>
        <w:jc w:val="center"/>
        <w:rPr>
          <w:rFonts w:eastAsia="黑体" w:cs="Times New Roman"/>
          <w:sz w:val="44"/>
        </w:rPr>
      </w:pPr>
      <w:bookmarkStart w:id="0" w:name="_GoBack"/>
      <w:bookmarkEnd w:id="0"/>
      <w:r w:rsidRPr="008C77B6">
        <w:rPr>
          <w:rFonts w:eastAsia="黑体" w:cs="Times New Roman"/>
          <w:sz w:val="44"/>
        </w:rPr>
        <w:t>常州永新精细化学有限公司原厂址地块场地环境调查与风险评估</w:t>
      </w:r>
      <w:r w:rsidR="000F15B9" w:rsidRPr="00764A3F">
        <w:rPr>
          <w:rFonts w:eastAsia="黑体" w:cs="Times New Roman"/>
          <w:sz w:val="44"/>
        </w:rPr>
        <w:t>报告</w:t>
      </w:r>
    </w:p>
    <w:p w14:paraId="6479F8EB" w14:textId="77777777" w:rsidR="000F15B9" w:rsidRPr="00764A3F" w:rsidRDefault="000F15B9" w:rsidP="005C50DF">
      <w:pPr>
        <w:ind w:firstLineChars="0" w:firstLine="0"/>
        <w:jc w:val="center"/>
        <w:rPr>
          <w:rFonts w:eastAsia="黑体" w:cs="Times New Roman"/>
          <w:sz w:val="40"/>
        </w:rPr>
      </w:pPr>
      <w:r w:rsidRPr="00764A3F">
        <w:rPr>
          <w:rFonts w:eastAsia="黑体" w:cs="Times New Roman"/>
          <w:sz w:val="40"/>
        </w:rPr>
        <w:t>（</w:t>
      </w:r>
      <w:r w:rsidRPr="00DC33DE">
        <w:rPr>
          <w:rFonts w:eastAsia="黑体" w:cs="Times New Roman"/>
          <w:color w:val="000000" w:themeColor="text1"/>
          <w:sz w:val="40"/>
        </w:rPr>
        <w:t>备案稿</w:t>
      </w:r>
      <w:r w:rsidRPr="00764A3F">
        <w:rPr>
          <w:rFonts w:eastAsia="黑体" w:cs="Times New Roman"/>
          <w:sz w:val="40"/>
        </w:rPr>
        <w:t>）</w:t>
      </w:r>
    </w:p>
    <w:p w14:paraId="364F2B75" w14:textId="77777777" w:rsidR="00180A16" w:rsidRPr="00180A16" w:rsidRDefault="00180A16" w:rsidP="007E3919">
      <w:pPr>
        <w:widowControl/>
        <w:shd w:val="clear" w:color="auto" w:fill="FFFFFF"/>
        <w:spacing w:line="360" w:lineRule="atLeast"/>
        <w:ind w:firstLine="460"/>
        <w:jc w:val="center"/>
        <w:rPr>
          <w:rFonts w:ascii="宋体" w:hAnsi="宋体" w:cs="宋体"/>
          <w:color w:val="000000"/>
          <w:kern w:val="0"/>
          <w:sz w:val="23"/>
          <w:szCs w:val="23"/>
        </w:rPr>
      </w:pPr>
    </w:p>
    <w:p w14:paraId="71C5DC7F" w14:textId="162E3DAA" w:rsidR="00175B3E" w:rsidRDefault="00175B3E" w:rsidP="00175B3E">
      <w:pPr>
        <w:ind w:firstLine="480"/>
      </w:pPr>
      <w:r>
        <w:t>本次场地调查是针对常州永新精细化学有限公司（以下简称</w:t>
      </w:r>
      <w:r>
        <w:rPr>
          <w:rFonts w:hint="eastAsia"/>
        </w:rPr>
        <w:t>“</w:t>
      </w:r>
      <w:r>
        <w:t>永新化学</w:t>
      </w:r>
      <w:r>
        <w:rPr>
          <w:rFonts w:hint="eastAsia"/>
        </w:rPr>
        <w:t>”</w:t>
      </w:r>
      <w:r>
        <w:t>）土壤和地下水环境质量状况的调查，其目的是了解该区域场地环境质量状况，判断其环境质量是否满足国家有关质量标准，为该地块土地可持续利用提供土壤及地下水质量方面的基础数据。</w:t>
      </w:r>
      <w:r>
        <w:t>2017</w:t>
      </w:r>
      <w:r>
        <w:t>年</w:t>
      </w:r>
      <w:r>
        <w:t>11</w:t>
      </w:r>
      <w:r>
        <w:t>月，江苏永迈循环科技有限公司委托上田环境修复股份有限公司（以下简称</w:t>
      </w:r>
      <w:r>
        <w:rPr>
          <w:rFonts w:hint="eastAsia"/>
        </w:rPr>
        <w:t>“</w:t>
      </w:r>
      <w:r>
        <w:t>上田环境</w:t>
      </w:r>
      <w:r>
        <w:rPr>
          <w:rFonts w:hint="eastAsia"/>
        </w:rPr>
        <w:t>”</w:t>
      </w:r>
      <w:r>
        <w:t>）和江苏长三角环境科学技术研究院有限公司（以下简称</w:t>
      </w:r>
      <w:r>
        <w:rPr>
          <w:rFonts w:hint="eastAsia"/>
        </w:rPr>
        <w:t>“</w:t>
      </w:r>
      <w:r>
        <w:t>长三角公司</w:t>
      </w:r>
      <w:r>
        <w:rPr>
          <w:rFonts w:hint="eastAsia"/>
        </w:rPr>
        <w:t>”</w:t>
      </w:r>
      <w:r>
        <w:t>）联合对该场地进行场地调查及风险评估。</w:t>
      </w:r>
    </w:p>
    <w:p w14:paraId="4518EB1D" w14:textId="0162159C" w:rsidR="00175B3E" w:rsidRDefault="00175B3E" w:rsidP="00175B3E">
      <w:pPr>
        <w:ind w:firstLine="480"/>
      </w:pPr>
      <w:r>
        <w:t>本项目场地环境调查工作按照我国《场地环境调查技术导则》（</w:t>
      </w:r>
      <w:r>
        <w:t>HJ25.1-2014</w:t>
      </w:r>
      <w:r>
        <w:t>）、《场地环境监测技术导则》（</w:t>
      </w:r>
      <w:r>
        <w:t>HJ25.2-2014</w:t>
      </w:r>
      <w:r>
        <w:t>）和《常州市场地环境调查评估技术指南（发布稿）》中规定的场地环境调查方法开展。上田环境和长三角公司于</w:t>
      </w:r>
      <w:r>
        <w:t>2017</w:t>
      </w:r>
      <w:r>
        <w:t>年</w:t>
      </w:r>
      <w:r>
        <w:t>11</w:t>
      </w:r>
      <w:r>
        <w:t>月组织人员进行了现场踏勘、人员访谈和资料收集。本次调查场地为常州永新精细化学有限公司原厂址地块（以下简称</w:t>
      </w:r>
      <w:r>
        <w:rPr>
          <w:rFonts w:hint="eastAsia"/>
        </w:rPr>
        <w:t>“</w:t>
      </w:r>
      <w:r>
        <w:t>永新精细地块</w:t>
      </w:r>
      <w:r>
        <w:rPr>
          <w:rFonts w:hint="eastAsia"/>
        </w:rPr>
        <w:t>”</w:t>
      </w:r>
      <w:r>
        <w:t>），该地块位于江苏省常州市新北区春江镇滨江经济开发区化学工业园内。场地占地总面积约为</w:t>
      </w:r>
      <w:r>
        <w:t>46</w:t>
      </w:r>
      <w:r>
        <w:t>亩。根据前期人员踏勘，该企业主要从事化工医药中间体生产，地块内原厂房、设备均已拆除，表层覆盖较厚外来填土，西北角有原厂区污水处理设施拆除后残留的两个水池，目前积满雨水。该场地未来用地规划为工业用地，拟开发用作</w:t>
      </w:r>
      <w:r w:rsidR="00751932">
        <w:rPr>
          <w:rFonts w:hint="eastAsia"/>
        </w:rPr>
        <w:t>“</w:t>
      </w:r>
      <w:r w:rsidR="00751932">
        <w:t>年</w:t>
      </w:r>
      <w:r w:rsidR="00751932">
        <w:t>6</w:t>
      </w:r>
      <w:r w:rsidR="00751932">
        <w:t>万吨</w:t>
      </w:r>
      <w:r w:rsidR="00751932">
        <w:t>NMP</w:t>
      </w:r>
      <w:r w:rsidR="00751932">
        <w:t>（</w:t>
      </w:r>
      <w:r w:rsidR="00751932">
        <w:t>N-</w:t>
      </w:r>
      <w:r w:rsidR="00751932">
        <w:t>甲基吡咯烷酮）循环综合利用</w:t>
      </w:r>
      <w:r w:rsidR="00751932">
        <w:rPr>
          <w:rFonts w:hint="eastAsia"/>
        </w:rPr>
        <w:t>”</w:t>
      </w:r>
      <w:r>
        <w:t>项目开展生产活动。</w:t>
      </w:r>
    </w:p>
    <w:p w14:paraId="382DD366" w14:textId="7CCBC2EC" w:rsidR="00175B3E" w:rsidRDefault="00175B3E" w:rsidP="00175B3E">
      <w:pPr>
        <w:ind w:firstLine="480"/>
      </w:pPr>
      <w:r>
        <w:t>根据现场踏勘、人员访谈和资料查阅，并结合卫星地图和原厂区平面布置图，采用系统布点法进行布点监测。场地内共布设</w:t>
      </w:r>
      <w:r>
        <w:t>27</w:t>
      </w:r>
      <w:r>
        <w:t>个土壤采样点，</w:t>
      </w:r>
      <w:r>
        <w:t>9</w:t>
      </w:r>
      <w:r>
        <w:t>口潜水层地下水监测井，</w:t>
      </w:r>
      <w:r>
        <w:t>9</w:t>
      </w:r>
      <w:r>
        <w:t>口浅层承压含水层地下水监测井和</w:t>
      </w:r>
      <w:r>
        <w:t>1</w:t>
      </w:r>
      <w:r>
        <w:t>个地表积水采样点。在场地外布设</w:t>
      </w:r>
      <w:r>
        <w:t>2</w:t>
      </w:r>
      <w:r>
        <w:t>个土壤采样点和</w:t>
      </w:r>
      <w:r>
        <w:t>1</w:t>
      </w:r>
      <w:r>
        <w:t>口地下水监测井作为对照点。考虑到化工厂可能产生的污染，结合环评资料中的生产工艺和原辅材料，本次场地调查分析检测项目包括</w:t>
      </w:r>
      <w:r>
        <w:t>pH</w:t>
      </w:r>
      <w:r>
        <w:t>、重金属</w:t>
      </w:r>
      <w:r>
        <w:t>13</w:t>
      </w:r>
      <w:r>
        <w:t>项（锑、砷、铍、镉、总铬、六价铬、钴、汞、铜、镍、铅、钒、锌）、挥发性有机物（</w:t>
      </w:r>
      <w:r>
        <w:t>VOCs</w:t>
      </w:r>
      <w:r>
        <w:t>）、半挥发性有机物（</w:t>
      </w:r>
      <w:r>
        <w:t>SVOCs</w:t>
      </w:r>
      <w:r>
        <w:t>）、总石油烃、农药类（有机氯、六六六、滴滴涕）和理化参数等。</w:t>
      </w:r>
    </w:p>
    <w:p w14:paraId="5113C7B8" w14:textId="26651BDF" w:rsidR="00175B3E" w:rsidRDefault="00175B3E" w:rsidP="00175B3E">
      <w:pPr>
        <w:ind w:firstLine="480"/>
      </w:pPr>
      <w:r>
        <w:lastRenderedPageBreak/>
        <w:t>根据检测结果，场地土壤送检样品中检出因子有重金属</w:t>
      </w:r>
      <w:r>
        <w:t>12</w:t>
      </w:r>
      <w:r>
        <w:t>项：铜、锌、铅、镉、镍、汞、砷、总铬、铍、钴、钒、锑；总石油烃；挥发性有机物：甲苯、乙苯、氯苯、</w:t>
      </w:r>
      <w:r>
        <w:t>2-</w:t>
      </w:r>
      <w:r>
        <w:t>氯甲苯、</w:t>
      </w:r>
      <w:r>
        <w:t>4-</w:t>
      </w:r>
      <w:r>
        <w:t>氯甲苯；半挥发性有机物：苯酚、</w:t>
      </w:r>
      <w:r>
        <w:t>3&amp;4-</w:t>
      </w:r>
      <w:r>
        <w:t>甲基苯酚、萘、屈、蒽、荧蒽、蒽、芘、菲、苯并</w:t>
      </w:r>
      <w:r>
        <w:t>(a)</w:t>
      </w:r>
      <w:r>
        <w:t>芘、苯并</w:t>
      </w:r>
      <w:r>
        <w:t>(a)</w:t>
      </w:r>
      <w:r>
        <w:t>蒽、苯并</w:t>
      </w:r>
      <w:r>
        <w:t>(b)</w:t>
      </w:r>
      <w:r>
        <w:t>荧蒽，土壤中所有检出因子均未超过相关评价标准。</w:t>
      </w:r>
    </w:p>
    <w:p w14:paraId="7EE1CB9C" w14:textId="470AFF78" w:rsidR="00175B3E" w:rsidRDefault="00175B3E" w:rsidP="00175B3E">
      <w:pPr>
        <w:ind w:firstLine="480"/>
      </w:pPr>
      <w:r>
        <w:t>地下水最终检出因子有总铬、铜、镍、锌、锑、铅、镉、铍、砷、钴、总石油烃、苯、甲苯、乙苯、间</w:t>
      </w:r>
      <w:r>
        <w:t>&amp;</w:t>
      </w:r>
      <w:r>
        <w:t>对</w:t>
      </w:r>
      <w:r>
        <w:t>-</w:t>
      </w:r>
      <w:r>
        <w:t>二甲苯、邻</w:t>
      </w:r>
      <w:r>
        <w:t>-</w:t>
      </w:r>
      <w:r>
        <w:t>二甲苯、</w:t>
      </w:r>
      <w:r>
        <w:t>1,3,5-</w:t>
      </w:r>
      <w:r>
        <w:t>三甲基苯、顺</w:t>
      </w:r>
      <w:r>
        <w:t>-1,2-</w:t>
      </w:r>
      <w:r>
        <w:t>二氯乙烯、反</w:t>
      </w:r>
      <w:r>
        <w:t>-1,2-</w:t>
      </w:r>
      <w:r>
        <w:t>二氯乙烯、</w:t>
      </w:r>
      <w:r>
        <w:t>1,2-</w:t>
      </w:r>
      <w:r>
        <w:t>二氯乙烷、氯苯、</w:t>
      </w:r>
      <w:r>
        <w:t>1,2-</w:t>
      </w:r>
      <w:r>
        <w:t>二氯苯、溴苯、</w:t>
      </w:r>
      <w:r>
        <w:t>2-</w:t>
      </w:r>
      <w:r>
        <w:t>氯甲苯、</w:t>
      </w:r>
      <w:r>
        <w:t>4-</w:t>
      </w:r>
      <w:r>
        <w:t>氯甲苯、氯仿、苯酚、</w:t>
      </w:r>
      <w:r>
        <w:t>2-</w:t>
      </w:r>
      <w:r>
        <w:t>氯苯酚、</w:t>
      </w:r>
      <w:r>
        <w:t>2-</w:t>
      </w:r>
      <w:r>
        <w:t>甲基苯酚、</w:t>
      </w:r>
      <w:r>
        <w:t>3&amp;4-</w:t>
      </w:r>
      <w:r>
        <w:t>甲基苯酚、</w:t>
      </w:r>
      <w:r>
        <w:t>2,4-</w:t>
      </w:r>
      <w:r>
        <w:t>二氯苯酚。其中部分点位铅、砷、苯、甲苯超过《地下水质量标准</w:t>
      </w:r>
      <w:r>
        <w:t>GB/T14848-2017</w:t>
      </w:r>
      <w:r>
        <w:t>》中</w:t>
      </w:r>
      <w:r>
        <w:t>III</w:t>
      </w:r>
      <w:r>
        <w:t>类水质标准，总石油烃、</w:t>
      </w:r>
      <w:r>
        <w:t>2-</w:t>
      </w:r>
      <w:r>
        <w:t>甲基苯酚、</w:t>
      </w:r>
      <w:r>
        <w:t>3&amp;4-</w:t>
      </w:r>
      <w:r>
        <w:t>甲基苯酚超过《荷兰土壤与地下水修复干预值（</w:t>
      </w:r>
      <w:r>
        <w:t>DIV</w:t>
      </w:r>
      <w:r>
        <w:t>，</w:t>
      </w:r>
      <w:r>
        <w:t>2009</w:t>
      </w:r>
      <w:r>
        <w:t>）》中相关标准。</w:t>
      </w:r>
    </w:p>
    <w:p w14:paraId="200275B9" w14:textId="3001D7E7" w:rsidR="00175B3E" w:rsidRDefault="00175B3E" w:rsidP="00175B3E">
      <w:pPr>
        <w:ind w:firstLine="480"/>
      </w:pPr>
      <w:r>
        <w:t>场地内地表积水中检出因子有总铬、铜、镍、锌、锑、铅、镉、砷、钴、钒、汞和总石油烃，均未超过《地表水环境质量标准》（</w:t>
      </w:r>
      <w:r>
        <w:t>GB3838-2002</w:t>
      </w:r>
      <w:r>
        <w:t>）</w:t>
      </w:r>
      <w:r>
        <w:t>IV</w:t>
      </w:r>
      <w:r>
        <w:t>类水质标准。</w:t>
      </w:r>
    </w:p>
    <w:p w14:paraId="196B0B22" w14:textId="7D8EFA3A" w:rsidR="00175B3E" w:rsidRDefault="00175B3E" w:rsidP="00175B3E">
      <w:pPr>
        <w:ind w:firstLine="480"/>
      </w:pPr>
      <w:r>
        <w:t>结合土壤和地下水的检测数据及现场情况，建立场地概念模型，利用场地特征参数和受体暴露参数等，进行人体健康风险评估。由于永新化学地块未来拟开发用作</w:t>
      </w:r>
      <w:r w:rsidR="00751932">
        <w:rPr>
          <w:rFonts w:hint="eastAsia"/>
        </w:rPr>
        <w:t>“</w:t>
      </w:r>
      <w:r w:rsidR="00751932">
        <w:t>年</w:t>
      </w:r>
      <w:r w:rsidR="00751932">
        <w:t>6</w:t>
      </w:r>
      <w:r w:rsidR="00751932">
        <w:t>万吨</w:t>
      </w:r>
      <w:r w:rsidR="00751932">
        <w:t>NMP</w:t>
      </w:r>
      <w:r w:rsidR="00751932">
        <w:t>（</w:t>
      </w:r>
      <w:r w:rsidR="00751932">
        <w:t>N-</w:t>
      </w:r>
      <w:r w:rsidR="00751932">
        <w:t>甲基吡咯烷酮）循环综合利用</w:t>
      </w:r>
      <w:r w:rsidR="00751932">
        <w:rPr>
          <w:rFonts w:hint="eastAsia"/>
        </w:rPr>
        <w:t>”</w:t>
      </w:r>
      <w:r>
        <w:t>项目开展生产活动，未来规划为工业用地，本报告按照非敏感用地（工业用地）类型的暴露场景进行了风险评估。通过健康风险评估，结果显示永新化学地块部分区域的地下水需要进行修复。</w:t>
      </w:r>
    </w:p>
    <w:p w14:paraId="28867328" w14:textId="4138EBC8" w:rsidR="00AC2228" w:rsidRPr="00180A16" w:rsidRDefault="00175B3E" w:rsidP="00175B3E">
      <w:pPr>
        <w:ind w:firstLine="480"/>
      </w:pPr>
      <w:r>
        <w:t>永新化学地块地下水需要进行修复的目标因子为总石油烃，估算的潜水层地下水理论修复面积为</w:t>
      </w:r>
      <w:r>
        <w:t>11000m</w:t>
      </w:r>
      <w:r w:rsidRPr="00751932">
        <w:rPr>
          <w:vertAlign w:val="superscript"/>
        </w:rPr>
        <w:t>2</w:t>
      </w:r>
      <w:r>
        <w:t>，体积为</w:t>
      </w:r>
      <w:r>
        <w:t>9405m</w:t>
      </w:r>
      <w:r w:rsidRPr="00751932">
        <w:rPr>
          <w:vertAlign w:val="superscript"/>
        </w:rPr>
        <w:t>3</w:t>
      </w:r>
      <w:r>
        <w:t>；浅层承压含水层地下水理论修复的面积为</w:t>
      </w:r>
      <w:r>
        <w:t>11000m</w:t>
      </w:r>
      <w:r w:rsidRPr="00751932">
        <w:rPr>
          <w:vertAlign w:val="superscript"/>
        </w:rPr>
        <w:t>2</w:t>
      </w:r>
      <w:r>
        <w:t>，体积为</w:t>
      </w:r>
      <w:r>
        <w:t>11286m</w:t>
      </w:r>
      <w:r w:rsidRPr="00751932">
        <w:rPr>
          <w:vertAlign w:val="superscript"/>
        </w:rPr>
        <w:t>3</w:t>
      </w:r>
      <w:r>
        <w:t>。</w:t>
      </w:r>
    </w:p>
    <w:sectPr w:rsidR="00AC2228" w:rsidRPr="00180A1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C6146" w14:textId="77777777" w:rsidR="005D4656" w:rsidRDefault="005D4656" w:rsidP="00645E05">
      <w:pPr>
        <w:spacing w:line="240" w:lineRule="auto"/>
        <w:ind w:firstLine="480"/>
      </w:pPr>
      <w:r>
        <w:separator/>
      </w:r>
    </w:p>
  </w:endnote>
  <w:endnote w:type="continuationSeparator" w:id="0">
    <w:p w14:paraId="6BF122B9" w14:textId="77777777" w:rsidR="005D4656" w:rsidRDefault="005D4656" w:rsidP="00645E0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E891" w14:textId="77777777" w:rsidR="005C50DF" w:rsidRDefault="005C50DF">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B22B" w14:textId="77777777" w:rsidR="005C50DF" w:rsidRDefault="005C50DF">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017D" w14:textId="77777777" w:rsidR="005C50DF" w:rsidRDefault="005C50D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4558" w14:textId="77777777" w:rsidR="005D4656" w:rsidRDefault="005D4656" w:rsidP="00645E05">
      <w:pPr>
        <w:spacing w:line="240" w:lineRule="auto"/>
        <w:ind w:firstLine="480"/>
      </w:pPr>
      <w:r>
        <w:separator/>
      </w:r>
    </w:p>
  </w:footnote>
  <w:footnote w:type="continuationSeparator" w:id="0">
    <w:p w14:paraId="2C692CD3" w14:textId="77777777" w:rsidR="005D4656" w:rsidRDefault="005D4656" w:rsidP="00645E0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01AD" w14:textId="77777777" w:rsidR="005C50DF" w:rsidRDefault="005C50DF">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AD94" w14:textId="77777777" w:rsidR="005C50DF" w:rsidRDefault="005C50DF" w:rsidP="005C50DF">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2661" w14:textId="77777777" w:rsidR="005C50DF" w:rsidRDefault="005C50DF">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16"/>
    <w:rsid w:val="000D4E0F"/>
    <w:rsid w:val="000F15B9"/>
    <w:rsid w:val="00175B3E"/>
    <w:rsid w:val="00180A16"/>
    <w:rsid w:val="00185C58"/>
    <w:rsid w:val="0051672C"/>
    <w:rsid w:val="005C50DF"/>
    <w:rsid w:val="005D4656"/>
    <w:rsid w:val="00645E05"/>
    <w:rsid w:val="006B4456"/>
    <w:rsid w:val="00751932"/>
    <w:rsid w:val="007E3919"/>
    <w:rsid w:val="008C77B6"/>
    <w:rsid w:val="0098123B"/>
    <w:rsid w:val="0098708C"/>
    <w:rsid w:val="009A707D"/>
    <w:rsid w:val="00AC2228"/>
    <w:rsid w:val="00C14D9F"/>
    <w:rsid w:val="00EA7133"/>
    <w:rsid w:val="00FD74EE"/>
    <w:rsid w:val="00FF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B2FC0"/>
  <w15:docId w15:val="{064F1EB4-8541-4579-A09E-CC8621AF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B3E"/>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EA7133"/>
    <w:pPr>
      <w:adjustRightInd w:val="0"/>
      <w:snapToGrid w:val="0"/>
      <w:outlineLvl w:val="0"/>
    </w:pPr>
    <w:rPr>
      <w:rFonts w:cs="Times New Roman"/>
      <w:b/>
      <w:sz w:val="36"/>
    </w:rPr>
  </w:style>
  <w:style w:type="paragraph" w:styleId="2">
    <w:name w:val="heading 2"/>
    <w:basedOn w:val="1"/>
    <w:next w:val="a"/>
    <w:link w:val="20"/>
    <w:uiPriority w:val="9"/>
    <w:unhideWhenUsed/>
    <w:qFormat/>
    <w:rsid w:val="00EA7133"/>
    <w:pPr>
      <w:outlineLvl w:val="1"/>
    </w:pPr>
    <w:rPr>
      <w:sz w:val="32"/>
    </w:rPr>
  </w:style>
  <w:style w:type="paragraph" w:styleId="3">
    <w:name w:val="heading 3"/>
    <w:basedOn w:val="a"/>
    <w:next w:val="a"/>
    <w:link w:val="30"/>
    <w:uiPriority w:val="9"/>
    <w:unhideWhenUsed/>
    <w:qFormat/>
    <w:rsid w:val="00EA7133"/>
    <w:pPr>
      <w:adjustRightInd w:val="0"/>
      <w:snapToGrid w:val="0"/>
      <w:outlineLvl w:val="2"/>
    </w:pPr>
    <w:rPr>
      <w:b/>
      <w:bCs/>
      <w:sz w:val="30"/>
      <w:szCs w:val="32"/>
    </w:rPr>
  </w:style>
  <w:style w:type="paragraph" w:styleId="4">
    <w:name w:val="heading 4"/>
    <w:basedOn w:val="a"/>
    <w:next w:val="a"/>
    <w:link w:val="40"/>
    <w:uiPriority w:val="9"/>
    <w:unhideWhenUsed/>
    <w:qFormat/>
    <w:rsid w:val="00EA7133"/>
    <w:pPr>
      <w:adjustRightInd w:val="0"/>
      <w:snapToGrid w:val="0"/>
      <w:outlineLvl w:val="3"/>
    </w:pPr>
    <w:rPr>
      <w:rFonts w:eastAsiaTheme="majorEastAsia" w:cstheme="majorBidi"/>
      <w:b/>
      <w:bCs/>
      <w:sz w:val="28"/>
      <w:szCs w:val="28"/>
    </w:rPr>
  </w:style>
  <w:style w:type="paragraph" w:styleId="5">
    <w:name w:val="heading 5"/>
    <w:aliases w:val="图表标题"/>
    <w:basedOn w:val="a"/>
    <w:next w:val="a"/>
    <w:link w:val="50"/>
    <w:uiPriority w:val="9"/>
    <w:unhideWhenUsed/>
    <w:qFormat/>
    <w:rsid w:val="00EA7133"/>
    <w:pPr>
      <w:adjustRightInd w:val="0"/>
      <w:snapToGrid w:val="0"/>
      <w:jc w:val="center"/>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33"/>
    <w:rPr>
      <w:rFonts w:ascii="Times New Roman" w:eastAsia="宋体" w:hAnsi="Times New Roman" w:cs="Times New Roman"/>
      <w:b/>
      <w:sz w:val="36"/>
    </w:rPr>
  </w:style>
  <w:style w:type="character" w:customStyle="1" w:styleId="20">
    <w:name w:val="标题 2 字符"/>
    <w:basedOn w:val="a0"/>
    <w:link w:val="2"/>
    <w:uiPriority w:val="9"/>
    <w:rsid w:val="00EA7133"/>
    <w:rPr>
      <w:rFonts w:ascii="Times New Roman" w:eastAsia="宋体" w:hAnsi="Times New Roman" w:cs="Times New Roman"/>
      <w:b/>
      <w:sz w:val="32"/>
    </w:rPr>
  </w:style>
  <w:style w:type="character" w:customStyle="1" w:styleId="30">
    <w:name w:val="标题 3 字符"/>
    <w:basedOn w:val="a0"/>
    <w:link w:val="3"/>
    <w:uiPriority w:val="9"/>
    <w:rsid w:val="00EA7133"/>
    <w:rPr>
      <w:rFonts w:ascii="Times New Roman" w:eastAsia="宋体" w:hAnsi="Times New Roman"/>
      <w:b/>
      <w:bCs/>
      <w:sz w:val="30"/>
      <w:szCs w:val="32"/>
    </w:rPr>
  </w:style>
  <w:style w:type="character" w:customStyle="1" w:styleId="40">
    <w:name w:val="标题 4 字符"/>
    <w:basedOn w:val="a0"/>
    <w:link w:val="4"/>
    <w:uiPriority w:val="9"/>
    <w:rsid w:val="00EA7133"/>
    <w:rPr>
      <w:rFonts w:ascii="Times New Roman" w:eastAsiaTheme="majorEastAsia" w:hAnsi="Times New Roman" w:cstheme="majorBidi"/>
      <w:b/>
      <w:bCs/>
      <w:sz w:val="28"/>
      <w:szCs w:val="28"/>
    </w:rPr>
  </w:style>
  <w:style w:type="character" w:customStyle="1" w:styleId="50">
    <w:name w:val="标题 5 字符"/>
    <w:aliases w:val="图表标题 字符"/>
    <w:basedOn w:val="a0"/>
    <w:link w:val="5"/>
    <w:uiPriority w:val="9"/>
    <w:rsid w:val="00EA7133"/>
    <w:rPr>
      <w:rFonts w:ascii="Times New Roman" w:eastAsia="宋体" w:hAnsi="Times New Roman"/>
      <w:b/>
      <w:bCs/>
      <w:szCs w:val="28"/>
    </w:rPr>
  </w:style>
  <w:style w:type="paragraph" w:styleId="a3">
    <w:name w:val="No Spacing"/>
    <w:aliases w:val="表格"/>
    <w:link w:val="a4"/>
    <w:uiPriority w:val="1"/>
    <w:qFormat/>
    <w:rsid w:val="00EA7133"/>
    <w:pPr>
      <w:widowControl w:val="0"/>
      <w:adjustRightInd w:val="0"/>
      <w:snapToGrid w:val="0"/>
      <w:spacing w:line="320" w:lineRule="exact"/>
      <w:jc w:val="center"/>
    </w:pPr>
    <w:rPr>
      <w:rFonts w:ascii="Times New Roman" w:eastAsia="宋体" w:hAnsi="Times New Roman"/>
    </w:rPr>
  </w:style>
  <w:style w:type="character" w:customStyle="1" w:styleId="a4">
    <w:name w:val="无间隔 字符"/>
    <w:aliases w:val="表格 字符"/>
    <w:link w:val="a3"/>
    <w:uiPriority w:val="1"/>
    <w:rsid w:val="00EA7133"/>
    <w:rPr>
      <w:rFonts w:ascii="Times New Roman" w:eastAsia="宋体" w:hAnsi="Times New Roman"/>
    </w:rPr>
  </w:style>
  <w:style w:type="character" w:styleId="a5">
    <w:name w:val="Strong"/>
    <w:basedOn w:val="a0"/>
    <w:uiPriority w:val="22"/>
    <w:qFormat/>
    <w:rsid w:val="00180A16"/>
    <w:rPr>
      <w:b/>
      <w:bCs/>
    </w:rPr>
  </w:style>
  <w:style w:type="paragraph" w:styleId="a6">
    <w:name w:val="header"/>
    <w:basedOn w:val="a"/>
    <w:link w:val="a7"/>
    <w:uiPriority w:val="99"/>
    <w:unhideWhenUsed/>
    <w:rsid w:val="00645E0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45E05"/>
    <w:rPr>
      <w:sz w:val="18"/>
      <w:szCs w:val="18"/>
    </w:rPr>
  </w:style>
  <w:style w:type="paragraph" w:styleId="a8">
    <w:name w:val="footer"/>
    <w:basedOn w:val="a"/>
    <w:link w:val="a9"/>
    <w:uiPriority w:val="99"/>
    <w:unhideWhenUsed/>
    <w:rsid w:val="00645E05"/>
    <w:pPr>
      <w:tabs>
        <w:tab w:val="center" w:pos="4153"/>
        <w:tab w:val="right" w:pos="8306"/>
      </w:tabs>
      <w:snapToGrid w:val="0"/>
      <w:jc w:val="left"/>
    </w:pPr>
    <w:rPr>
      <w:sz w:val="18"/>
      <w:szCs w:val="18"/>
    </w:rPr>
  </w:style>
  <w:style w:type="character" w:customStyle="1" w:styleId="a9">
    <w:name w:val="页脚 字符"/>
    <w:basedOn w:val="a0"/>
    <w:link w:val="a8"/>
    <w:uiPriority w:val="99"/>
    <w:rsid w:val="00645E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2020-04-08T06:15:00Z</dcterms:created>
  <dcterms:modified xsi:type="dcterms:W3CDTF">2020-04-08T06:16:00Z</dcterms:modified>
</cp:coreProperties>
</file>